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val="en-ZA" w:eastAsia="en-ZA"/>
                  </w:rPr>
                  <w:drawing>
                    <wp:inline distT="0" distB="0" distL="0" distR="0" wp14:anchorId="0D54F894" wp14:editId="0FD0EFE1">
                      <wp:extent cx="1775781" cy="849534"/>
                      <wp:effectExtent l="0" t="0" r="0" b="8255"/>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862" cy="855314"/>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14758F" w:rsidRDefault="00C16C38" w:rsidP="00E6081B">
                <w:pPr>
                  <w:pStyle w:val="NoSpacing"/>
                  <w:jc w:val="center"/>
                  <w:rPr>
                    <w:rFonts w:ascii="Century Gothic" w:hAnsi="Century Gothic"/>
                    <w:b/>
                    <w:bCs/>
                    <w:sz w:val="48"/>
                    <w:szCs w:val="48"/>
                  </w:rPr>
                </w:pPr>
                <w:r>
                  <w:rPr>
                    <w:rFonts w:ascii="Century Gothic" w:hAnsi="Century Gothic"/>
                    <w:b/>
                    <w:bCs/>
                    <w:sz w:val="48"/>
                    <w:szCs w:val="48"/>
                  </w:rPr>
                  <w:t xml:space="preserve"> </w:t>
                </w:r>
                <w:bookmarkStart w:id="0" w:name="_GoBack"/>
                <w:bookmarkEnd w:id="0"/>
                <w:r w:rsidR="005027DB" w:rsidRPr="0014758F">
                  <w:rPr>
                    <w:rFonts w:ascii="Century Gothic" w:hAnsi="Century Gothic"/>
                    <w:b/>
                    <w:bCs/>
                    <w:sz w:val="48"/>
                    <w:szCs w:val="48"/>
                  </w:rPr>
                  <w:t xml:space="preserve">BANKING, </w:t>
                </w:r>
                <w:r w:rsidR="00003F75" w:rsidRPr="0014758F">
                  <w:rPr>
                    <w:rFonts w:ascii="Century Gothic" w:hAnsi="Century Gothic"/>
                    <w:b/>
                    <w:bCs/>
                    <w:sz w:val="48"/>
                    <w:szCs w:val="48"/>
                  </w:rPr>
                  <w:t xml:space="preserve">INVESTMENT </w:t>
                </w:r>
                <w:r w:rsidR="005027DB" w:rsidRPr="0014758F">
                  <w:rPr>
                    <w:rFonts w:ascii="Century Gothic" w:hAnsi="Century Gothic"/>
                    <w:b/>
                    <w:bCs/>
                    <w:sz w:val="48"/>
                    <w:szCs w:val="48"/>
                  </w:rPr>
                  <w:t xml:space="preserve">AND CASH MANAGEMENT </w:t>
                </w:r>
                <w:r w:rsidR="00003F75" w:rsidRPr="0014758F">
                  <w:rPr>
                    <w:rFonts w:ascii="Century Gothic" w:hAnsi="Century Gothic"/>
                    <w:b/>
                    <w:bCs/>
                    <w:sz w:val="48"/>
                    <w:szCs w:val="48"/>
                  </w:rPr>
                  <w:t>POLICY</w:t>
                </w:r>
              </w:p>
              <w:p w:rsidR="005D4F07" w:rsidRPr="0014758F" w:rsidRDefault="005D4F07" w:rsidP="00E6081B">
                <w:pPr>
                  <w:pStyle w:val="NoSpacing"/>
                  <w:jc w:val="center"/>
                  <w:rPr>
                    <w:rFonts w:ascii="Century Gothic" w:hAnsi="Century Gothic"/>
                    <w:b/>
                    <w:bCs/>
                    <w:sz w:val="48"/>
                    <w:szCs w:val="48"/>
                  </w:rPr>
                </w:pPr>
              </w:p>
              <w:p w:rsidR="005D4F07" w:rsidRPr="0014758F" w:rsidRDefault="005D4F07" w:rsidP="00D20237">
                <w:pPr>
                  <w:pStyle w:val="NoSpacing"/>
                  <w:rPr>
                    <w:rFonts w:ascii="Century Gothic" w:hAnsi="Century Gothic"/>
                    <w:b/>
                    <w:bCs/>
                    <w:sz w:val="48"/>
                    <w:szCs w:val="48"/>
                  </w:rPr>
                </w:pPr>
              </w:p>
              <w:p w:rsidR="0051551A" w:rsidRPr="0014758F" w:rsidRDefault="00360DBF" w:rsidP="00E6081B">
                <w:pPr>
                  <w:pStyle w:val="NoSpacing"/>
                  <w:jc w:val="center"/>
                  <w:rPr>
                    <w:rFonts w:ascii="Century Gothic" w:hAnsi="Century Gothic"/>
                    <w:b/>
                    <w:bCs/>
                    <w:sz w:val="48"/>
                    <w:szCs w:val="48"/>
                  </w:rPr>
                </w:pPr>
                <w:r>
                  <w:rPr>
                    <w:rFonts w:ascii="Century Gothic" w:hAnsi="Century Gothic"/>
                    <w:b/>
                    <w:bCs/>
                    <w:sz w:val="48"/>
                    <w:szCs w:val="48"/>
                  </w:rPr>
                  <w:t>2021/22</w:t>
                </w:r>
                <w:r w:rsidR="00E6081B" w:rsidRPr="0014758F">
                  <w:rPr>
                    <w:rFonts w:ascii="Century Gothic" w:hAnsi="Century Gothic"/>
                    <w:b/>
                    <w:bCs/>
                    <w:sz w:val="48"/>
                    <w:szCs w:val="48"/>
                  </w:rPr>
                  <w:t xml:space="preserve"> </w:t>
                </w:r>
              </w:p>
              <w:p w:rsidR="0051551A" w:rsidRPr="0014758F" w:rsidRDefault="0051551A" w:rsidP="00E6081B">
                <w:pPr>
                  <w:pStyle w:val="NoSpacing"/>
                  <w:jc w:val="center"/>
                  <w:rPr>
                    <w:rFonts w:ascii="Century Gothic" w:hAnsi="Century Gothic"/>
                    <w:b/>
                    <w:bCs/>
                    <w:sz w:val="48"/>
                    <w:szCs w:val="48"/>
                  </w:rPr>
                </w:pPr>
              </w:p>
              <w:p w:rsidR="00E6081B" w:rsidRPr="0051551A" w:rsidRDefault="00E6081B" w:rsidP="00E6081B">
                <w:pPr>
                  <w:pStyle w:val="NoSpacing"/>
                  <w:jc w:val="center"/>
                  <w:rPr>
                    <w:rFonts w:ascii="Garamond" w:hAnsi="Garamond"/>
                    <w:b/>
                    <w:bCs/>
                    <w:sz w:val="72"/>
                    <w:szCs w:val="72"/>
                  </w:rPr>
                </w:pPr>
                <w:r w:rsidRPr="0014758F">
                  <w:rPr>
                    <w:rFonts w:ascii="Century Gothic" w:hAnsi="Century Gothic"/>
                    <w:b/>
                    <w:bCs/>
                    <w:sz w:val="48"/>
                    <w:szCs w:val="48"/>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D20237" w:rsidRDefault="00D20237">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4758F" w:rsidRDefault="0014758F">
          <w:pPr>
            <w:rPr>
              <w:rFonts w:ascii="Garamond" w:hAnsi="Garamond"/>
              <w:sz w:val="24"/>
              <w:szCs w:val="24"/>
              <w:u w:val="single"/>
            </w:rPr>
          </w:pPr>
        </w:p>
        <w:p w:rsidR="00150633" w:rsidRDefault="00150633">
          <w:pPr>
            <w:rPr>
              <w:rFonts w:ascii="Garamond" w:hAnsi="Garamond"/>
              <w:sz w:val="24"/>
              <w:szCs w:val="24"/>
              <w:u w:val="single"/>
            </w:rPr>
          </w:pPr>
        </w:p>
        <w:p w:rsidR="00150633" w:rsidRDefault="00150633">
          <w:pPr>
            <w:rPr>
              <w:rFonts w:ascii="Garamond" w:hAnsi="Garamond"/>
              <w:sz w:val="24"/>
              <w:szCs w:val="24"/>
              <w:u w:val="single"/>
            </w:rPr>
          </w:pPr>
        </w:p>
        <w:p w:rsidR="008F5399" w:rsidRPr="005027DB" w:rsidRDefault="00BB3F47">
          <w:pPr>
            <w:rPr>
              <w:rFonts w:ascii="Garamond" w:hAnsi="Garamond"/>
              <w:sz w:val="24"/>
              <w:szCs w:val="24"/>
              <w:u w:val="single"/>
            </w:rPr>
          </w:pPr>
        </w:p>
      </w:sdtContent>
    </w:sdt>
    <w:p w:rsidR="0085497E" w:rsidRPr="00D93C4E" w:rsidRDefault="0085497E" w:rsidP="00D20237">
      <w:pPr>
        <w:jc w:val="left"/>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381AA1" w:rsidRDefault="00381AA1" w:rsidP="0093301D">
      <w:pPr>
        <w:tabs>
          <w:tab w:val="left" w:pos="709"/>
        </w:tabs>
        <w:ind w:left="709"/>
        <w:rPr>
          <w:rFonts w:ascii="Century Gothic" w:hAnsi="Century Gothic"/>
          <w:sz w:val="20"/>
          <w:szCs w:val="20"/>
        </w:rPr>
      </w:pPr>
    </w:p>
    <w:p w:rsidR="00381AA1" w:rsidRPr="00D62E9C" w:rsidRDefault="00381AA1" w:rsidP="0093301D">
      <w:pPr>
        <w:tabs>
          <w:tab w:val="left" w:pos="709"/>
        </w:tabs>
        <w:ind w:left="709"/>
        <w:rPr>
          <w:rFonts w:ascii="Century Gothic" w:hAnsi="Century Gothic"/>
          <w:sz w:val="20"/>
          <w:szCs w:val="20"/>
        </w:rPr>
      </w:pP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lastRenderedPageBreak/>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381AA1" w:rsidRDefault="00381AA1" w:rsidP="0093301D">
      <w:pPr>
        <w:rPr>
          <w:rFonts w:ascii="Century Gothic" w:hAnsi="Century Gothic"/>
          <w:b/>
          <w:sz w:val="20"/>
          <w:szCs w:val="20"/>
        </w:rPr>
      </w:pP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A74E10" w:rsidRDefault="00A74E10" w:rsidP="00A74E10">
      <w:pPr>
        <w:rPr>
          <w:rFonts w:ascii="Century Gothic" w:hAnsi="Century Gothic"/>
          <w:sz w:val="20"/>
          <w:szCs w:val="20"/>
        </w:rPr>
      </w:pPr>
    </w:p>
    <w:p w:rsidR="00A74E10" w:rsidRDefault="00A74E10" w:rsidP="00A74E10">
      <w:pPr>
        <w:rPr>
          <w:rFonts w:ascii="Century Gothic" w:hAnsi="Century Gothic"/>
          <w:sz w:val="20"/>
          <w:szCs w:val="20"/>
        </w:rPr>
      </w:pPr>
    </w:p>
    <w:p w:rsidR="00A74E10" w:rsidRPr="00A74E10" w:rsidRDefault="00A74E10" w:rsidP="00A74E10">
      <w:pPr>
        <w:rPr>
          <w:rFonts w:ascii="Century Gothic" w:hAnsi="Century Gothic"/>
          <w:sz w:val="20"/>
          <w:szCs w:val="20"/>
        </w:rPr>
      </w:pP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lastRenderedPageBreak/>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 xml:space="preserve">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w:t>
      </w:r>
      <w:r w:rsidRPr="00EA4642">
        <w:rPr>
          <w:rFonts w:ascii="Century Gothic" w:hAnsi="Century Gothic"/>
          <w:sz w:val="20"/>
          <w:szCs w:val="20"/>
        </w:rPr>
        <w:lastRenderedPageBreak/>
        <w:t>municipality’s bank accounts shall be maintained with the same banking institution to ensure pooling of balances for purposes of determining the interest payable to the municipality.</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A74E10" w:rsidRPr="00EA4642"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D20237" w:rsidRPr="00EA4642" w:rsidRDefault="0085497E" w:rsidP="0093301D">
      <w:pPr>
        <w:rPr>
          <w:rFonts w:ascii="Century Gothic" w:hAnsi="Century Gothic"/>
          <w:sz w:val="20"/>
          <w:szCs w:val="20"/>
        </w:rPr>
      </w:pPr>
      <w:r w:rsidRPr="00EA4642">
        <w:rPr>
          <w:rFonts w:ascii="Century Gothic" w:hAnsi="Century Gothic"/>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private sector best 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national treasury, the provincial treasury and the Auditor-General, in writing, the name of the bank where the primary bank </w:t>
      </w:r>
      <w:r w:rsidRPr="007020B9">
        <w:rPr>
          <w:rFonts w:ascii="Century Gothic" w:hAnsi="Century Gothic"/>
          <w:sz w:val="20"/>
          <w:szCs w:val="20"/>
        </w:rPr>
        <w:lastRenderedPageBreak/>
        <w:t>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lastRenderedPageBreak/>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lastRenderedPageBreak/>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Default="0085497E" w:rsidP="0093301D">
      <w:pPr>
        <w:rPr>
          <w:rFonts w:ascii="Garamond" w:hAnsi="Garamond"/>
          <w:sz w:val="24"/>
          <w:szCs w:val="24"/>
        </w:rPr>
      </w:pPr>
      <w:r w:rsidRPr="007E540E">
        <w:rPr>
          <w:rFonts w:ascii="Century Gothic" w:hAnsi="Century Gothic"/>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F2BF1" w:rsidRDefault="008F2BF1" w:rsidP="0093301D">
      <w:pPr>
        <w:rPr>
          <w:rFonts w:ascii="Garamond" w:hAnsi="Garamond"/>
          <w:sz w:val="24"/>
          <w:szCs w:val="24"/>
        </w:rPr>
      </w:pPr>
    </w:p>
    <w:p w:rsidR="008F2BF1" w:rsidRPr="00D76DD8" w:rsidRDefault="008F2BF1" w:rsidP="0093301D">
      <w:pPr>
        <w:rPr>
          <w:rFonts w:ascii="Garamond" w:hAnsi="Garamond"/>
          <w:sz w:val="24"/>
          <w:szCs w:val="24"/>
        </w:rPr>
      </w:pP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lastRenderedPageBreak/>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 xml:space="preserve">All other contracts, including building, engineering and other civil contracts shall be administered by the head of department concerned, and all payments relating to such contracts shall be authorized by such head of department in accordance with the </w:t>
      </w:r>
      <w:r w:rsidRPr="005F4A50">
        <w:rPr>
          <w:rFonts w:ascii="Century Gothic" w:hAnsi="Century Gothic"/>
          <w:sz w:val="20"/>
          <w:szCs w:val="20"/>
        </w:rPr>
        <w:lastRenderedPageBreak/>
        <w:t>provisions of Section 3 below. The head of department concerned shall ensure that all payment certificates in regard to contracts are properly examined and are correct in all respect – before being submitted to the chief financial officer for payment.</w:t>
      </w:r>
    </w:p>
    <w:p w:rsidR="005F4A50" w:rsidRPr="00A74E10" w:rsidRDefault="00A83CC2" w:rsidP="005F4A50">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8F2BF1" w:rsidRDefault="008F2BF1" w:rsidP="008F2BF1">
      <w:pPr>
        <w:rPr>
          <w:rFonts w:ascii="Century Gothic" w:hAnsi="Century Gothic"/>
          <w:sz w:val="20"/>
          <w:szCs w:val="20"/>
        </w:rPr>
      </w:pPr>
    </w:p>
    <w:p w:rsidR="008F2BF1" w:rsidRPr="008F2BF1" w:rsidRDefault="008F2BF1" w:rsidP="008F2BF1">
      <w:pPr>
        <w:rPr>
          <w:rFonts w:ascii="Century Gothic" w:hAnsi="Century Gothic"/>
          <w:sz w:val="20"/>
          <w:szCs w:val="20"/>
        </w:rPr>
      </w:pP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4C5E66" w:rsidRPr="005F4A50">
        <w:rPr>
          <w:rFonts w:ascii="Century Gothic" w:hAnsi="Century Gothic"/>
          <w:sz w:val="20"/>
          <w:szCs w:val="20"/>
        </w:rPr>
        <w:t>Sebata</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Cash-up sheets/deposit slips shall be prepared on a daily basis. These </w:t>
            </w:r>
            <w:r w:rsidRPr="005F4A50">
              <w:rPr>
                <w:rFonts w:ascii="Century Gothic" w:hAnsi="Century Gothic"/>
                <w:sz w:val="20"/>
                <w:szCs w:val="20"/>
              </w:rPr>
              <w:lastRenderedPageBreak/>
              <w:t>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lastRenderedPageBreak/>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47" w:rsidRDefault="00BB3F47" w:rsidP="00E6081B">
      <w:pPr>
        <w:spacing w:after="0" w:line="240" w:lineRule="auto"/>
      </w:pPr>
      <w:r>
        <w:separator/>
      </w:r>
    </w:p>
  </w:endnote>
  <w:endnote w:type="continuationSeparator" w:id="0">
    <w:p w:rsidR="00BB3F47" w:rsidRDefault="00BB3F47"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687511"/>
      <w:docPartObj>
        <w:docPartGallery w:val="Page Numbers (Bottom of Page)"/>
        <w:docPartUnique/>
      </w:docPartObj>
    </w:sdtPr>
    <w:sdtEndPr/>
    <w:sdtContent>
      <w:p w:rsidR="00A860C7" w:rsidRDefault="00A860C7">
        <w:pPr>
          <w:pStyle w:val="Footer"/>
          <w:jc w:val="right"/>
        </w:pPr>
        <w:r>
          <w:t xml:space="preserve">Page | </w:t>
        </w:r>
        <w:r>
          <w:fldChar w:fldCharType="begin"/>
        </w:r>
        <w:r>
          <w:instrText xml:space="preserve"> PAGE   \* MERGEFORMAT </w:instrText>
        </w:r>
        <w:r>
          <w:fldChar w:fldCharType="separate"/>
        </w:r>
        <w:r w:rsidR="00837F1C">
          <w:rPr>
            <w:noProof/>
          </w:rPr>
          <w:t>1</w:t>
        </w:r>
        <w:r>
          <w:rPr>
            <w:noProof/>
          </w:rPr>
          <w:fldChar w:fldCharType="end"/>
        </w:r>
        <w:r>
          <w:t xml:space="preserve"> </w:t>
        </w:r>
      </w:p>
    </w:sdtContent>
  </w:sdt>
  <w:p w:rsidR="00E6081B" w:rsidRDefault="00E608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57C" w:rsidRDefault="00F4557C">
    <w:pPr>
      <w:pStyle w:val="Footer"/>
    </w:pPr>
    <w:r>
      <w:rPr>
        <w:noProof/>
        <w:lang w:val="en-ZA" w:eastAsia="en-ZA"/>
      </w:rPr>
      <mc:AlternateContent>
        <mc:Choice Requires="wps">
          <w:drawing>
            <wp:anchor distT="0" distB="0" distL="114300" distR="114300" simplePos="0" relativeHeight="251659776"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557C" w:rsidRDefault="00F4557C"/>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left:0;text-align:left;margin-left:0;margin-top:0;width:467.65pt;height:58.3pt;z-index:25165977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F4557C" w:rsidRDefault="00F4557C"/>
                </w:txbxContent>
              </v:textbox>
              <w10:wrap anchorx="margin" anchory="page"/>
            </v:rect>
          </w:pict>
        </mc:Fallback>
      </mc:AlternateContent>
    </w:r>
  </w:p>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47" w:rsidRDefault="00BB3F47" w:rsidP="00E6081B">
      <w:pPr>
        <w:spacing w:after="0" w:line="240" w:lineRule="auto"/>
      </w:pPr>
      <w:r>
        <w:separator/>
      </w:r>
    </w:p>
  </w:footnote>
  <w:footnote w:type="continuationSeparator" w:id="0">
    <w:p w:rsidR="00BB3F47" w:rsidRDefault="00BB3F47"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DF592F" w:rsidRDefault="00BB3F47" w:rsidP="00FE7CE1">
        <w:pPr>
          <w:pStyle w:val="Header"/>
        </w:pPr>
      </w:p>
    </w:sdtContent>
  </w:sdt>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32D6D"/>
    <w:rsid w:val="00040B95"/>
    <w:rsid w:val="00075874"/>
    <w:rsid w:val="000831F6"/>
    <w:rsid w:val="00087C79"/>
    <w:rsid w:val="00090306"/>
    <w:rsid w:val="0009297F"/>
    <w:rsid w:val="000B015C"/>
    <w:rsid w:val="000B02D3"/>
    <w:rsid w:val="000D3614"/>
    <w:rsid w:val="000D3F6A"/>
    <w:rsid w:val="00115324"/>
    <w:rsid w:val="00117922"/>
    <w:rsid w:val="0012561F"/>
    <w:rsid w:val="0014758F"/>
    <w:rsid w:val="00150633"/>
    <w:rsid w:val="00166C16"/>
    <w:rsid w:val="00173F58"/>
    <w:rsid w:val="00192ADA"/>
    <w:rsid w:val="001A2391"/>
    <w:rsid w:val="001A7357"/>
    <w:rsid w:val="001D1BCD"/>
    <w:rsid w:val="001D1F3B"/>
    <w:rsid w:val="001D7C84"/>
    <w:rsid w:val="001E0AB0"/>
    <w:rsid w:val="001E2AD3"/>
    <w:rsid w:val="001F3474"/>
    <w:rsid w:val="002125D2"/>
    <w:rsid w:val="00270020"/>
    <w:rsid w:val="0029462C"/>
    <w:rsid w:val="002A1762"/>
    <w:rsid w:val="002A6981"/>
    <w:rsid w:val="002B2484"/>
    <w:rsid w:val="002D3B6A"/>
    <w:rsid w:val="002F3C4F"/>
    <w:rsid w:val="00332DB8"/>
    <w:rsid w:val="00356B9C"/>
    <w:rsid w:val="00360DBF"/>
    <w:rsid w:val="00381AA1"/>
    <w:rsid w:val="003B619F"/>
    <w:rsid w:val="003B73BB"/>
    <w:rsid w:val="003C05BE"/>
    <w:rsid w:val="003C59F7"/>
    <w:rsid w:val="003D2F0D"/>
    <w:rsid w:val="003E0941"/>
    <w:rsid w:val="003E7B29"/>
    <w:rsid w:val="00402009"/>
    <w:rsid w:val="00404BE9"/>
    <w:rsid w:val="00406488"/>
    <w:rsid w:val="00477432"/>
    <w:rsid w:val="00480BDD"/>
    <w:rsid w:val="00487BB5"/>
    <w:rsid w:val="004C5E66"/>
    <w:rsid w:val="004D4F5A"/>
    <w:rsid w:val="005027DB"/>
    <w:rsid w:val="0051551A"/>
    <w:rsid w:val="0057419B"/>
    <w:rsid w:val="0058582F"/>
    <w:rsid w:val="005A1D74"/>
    <w:rsid w:val="005B0817"/>
    <w:rsid w:val="005D4364"/>
    <w:rsid w:val="005D4F07"/>
    <w:rsid w:val="005F4A50"/>
    <w:rsid w:val="00607A8A"/>
    <w:rsid w:val="006665E2"/>
    <w:rsid w:val="00675951"/>
    <w:rsid w:val="006B38DD"/>
    <w:rsid w:val="006B634A"/>
    <w:rsid w:val="006B6F88"/>
    <w:rsid w:val="006C18ED"/>
    <w:rsid w:val="006C7B33"/>
    <w:rsid w:val="006D4511"/>
    <w:rsid w:val="006E3DB4"/>
    <w:rsid w:val="007020B9"/>
    <w:rsid w:val="00707D06"/>
    <w:rsid w:val="007428BA"/>
    <w:rsid w:val="0074724A"/>
    <w:rsid w:val="00766F0C"/>
    <w:rsid w:val="007D3051"/>
    <w:rsid w:val="007D6111"/>
    <w:rsid w:val="007E540E"/>
    <w:rsid w:val="0080136D"/>
    <w:rsid w:val="00837F1C"/>
    <w:rsid w:val="0084751A"/>
    <w:rsid w:val="0085497E"/>
    <w:rsid w:val="00895F98"/>
    <w:rsid w:val="008B7425"/>
    <w:rsid w:val="008C463F"/>
    <w:rsid w:val="008C6B92"/>
    <w:rsid w:val="008D0F6A"/>
    <w:rsid w:val="008D3218"/>
    <w:rsid w:val="008F2BF1"/>
    <w:rsid w:val="008F5399"/>
    <w:rsid w:val="0090693C"/>
    <w:rsid w:val="009247B9"/>
    <w:rsid w:val="009260AE"/>
    <w:rsid w:val="009260FF"/>
    <w:rsid w:val="0093301D"/>
    <w:rsid w:val="00946166"/>
    <w:rsid w:val="0095593A"/>
    <w:rsid w:val="00992D5E"/>
    <w:rsid w:val="009930A4"/>
    <w:rsid w:val="009B5250"/>
    <w:rsid w:val="009C1E3B"/>
    <w:rsid w:val="009C27DA"/>
    <w:rsid w:val="009E46D9"/>
    <w:rsid w:val="00A226E4"/>
    <w:rsid w:val="00A74E10"/>
    <w:rsid w:val="00A83CC2"/>
    <w:rsid w:val="00A860C7"/>
    <w:rsid w:val="00AB733E"/>
    <w:rsid w:val="00B5251E"/>
    <w:rsid w:val="00B560F2"/>
    <w:rsid w:val="00B57964"/>
    <w:rsid w:val="00B61C90"/>
    <w:rsid w:val="00B914FA"/>
    <w:rsid w:val="00B96E49"/>
    <w:rsid w:val="00BA1F59"/>
    <w:rsid w:val="00BB3F47"/>
    <w:rsid w:val="00BE0116"/>
    <w:rsid w:val="00C16C38"/>
    <w:rsid w:val="00C337C7"/>
    <w:rsid w:val="00C419F2"/>
    <w:rsid w:val="00C4446F"/>
    <w:rsid w:val="00C537B7"/>
    <w:rsid w:val="00CD0686"/>
    <w:rsid w:val="00CE39A6"/>
    <w:rsid w:val="00D00584"/>
    <w:rsid w:val="00D20237"/>
    <w:rsid w:val="00D456CD"/>
    <w:rsid w:val="00D567DC"/>
    <w:rsid w:val="00D56879"/>
    <w:rsid w:val="00D62E9C"/>
    <w:rsid w:val="00D70202"/>
    <w:rsid w:val="00D74289"/>
    <w:rsid w:val="00D76DD8"/>
    <w:rsid w:val="00D8427B"/>
    <w:rsid w:val="00D93C4E"/>
    <w:rsid w:val="00DA1AB3"/>
    <w:rsid w:val="00DB02F1"/>
    <w:rsid w:val="00DF592F"/>
    <w:rsid w:val="00E16618"/>
    <w:rsid w:val="00E6081B"/>
    <w:rsid w:val="00EA4642"/>
    <w:rsid w:val="00EA6AF1"/>
    <w:rsid w:val="00EC567E"/>
    <w:rsid w:val="00EC739A"/>
    <w:rsid w:val="00F17BB3"/>
    <w:rsid w:val="00F44DA4"/>
    <w:rsid w:val="00F4557C"/>
    <w:rsid w:val="00F8167B"/>
    <w:rsid w:val="00F845B0"/>
    <w:rsid w:val="00FE6B36"/>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B6ED"/>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1097A6-3523-4355-8C85-7F1114E9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18</Pages>
  <Words>6285</Words>
  <Characters>35825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Mampa Tsoho</cp:lastModifiedBy>
  <cp:revision>52</cp:revision>
  <dcterms:created xsi:type="dcterms:W3CDTF">2016-02-29T14:16:00Z</dcterms:created>
  <dcterms:modified xsi:type="dcterms:W3CDTF">2021-06-01T09:00:00Z</dcterms:modified>
</cp:coreProperties>
</file>